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B8" w:rsidRPr="008F6DB8" w:rsidRDefault="008F6DB8" w:rsidP="008F6DB8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F6DB8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ANEXO II: MEMORIA Y CALENDARIO DE SERVICIO  </w:t>
      </w:r>
    </w:p>
    <w:p w:rsidR="008F6DB8" w:rsidRPr="008F6DB8" w:rsidRDefault="008F6DB8" w:rsidP="008F6DB8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/>
          <w:bCs/>
          <w:color w:val="002060"/>
          <w:sz w:val="20"/>
          <w:szCs w:val="20"/>
        </w:rPr>
        <w:t>AYUNTAMIENTO:</w:t>
      </w:r>
    </w:p>
    <w:p w:rsidR="008F6DB8" w:rsidRPr="008F6DB8" w:rsidRDefault="008F6DB8" w:rsidP="008F6DB8">
      <w:p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/>
          <w:bCs/>
          <w:color w:val="002060"/>
          <w:sz w:val="20"/>
          <w:szCs w:val="20"/>
        </w:rPr>
        <w:t>LOCALIDAD:</w:t>
      </w:r>
    </w:p>
    <w:p w:rsidR="008F6DB8" w:rsidRPr="008F6DB8" w:rsidRDefault="008F6DB8" w:rsidP="008F6DB8">
      <w:p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/>
          <w:bCs/>
          <w:color w:val="002060"/>
          <w:sz w:val="20"/>
          <w:szCs w:val="20"/>
        </w:rPr>
        <w:t>MONUMENTO O CENTRO EXPOSITIVO:</w:t>
      </w: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8F6DB8" w:rsidRPr="008F6DB8" w:rsidRDefault="008F6DB8" w:rsidP="008F6DB8">
      <w:p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8F6DB8">
        <w:rPr>
          <w:rFonts w:ascii="Calibri" w:hAnsi="Calibri" w:cs="Calibri"/>
          <w:b/>
          <w:bCs/>
          <w:color w:val="002060"/>
          <w:sz w:val="20"/>
          <w:szCs w:val="20"/>
        </w:rPr>
        <w:t>RELEVANCIA O INTERÉS</w:t>
      </w:r>
      <w:r w:rsidRPr="008F6DB8">
        <w:rPr>
          <w:rFonts w:ascii="Calibri" w:hAnsi="Calibri" w:cs="Calibri"/>
          <w:b/>
          <w:bCs/>
          <w:color w:val="002060"/>
          <w:sz w:val="18"/>
          <w:szCs w:val="18"/>
        </w:rPr>
        <w:t xml:space="preserve">: Breve descripción, incluyendo catalogación patrimonial.  </w:t>
      </w: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/>
          <w:bCs/>
          <w:color w:val="002060"/>
          <w:sz w:val="20"/>
          <w:szCs w:val="20"/>
        </w:rPr>
        <w:t>CALENDARIO DE APERTURA: Marcar con una X el periodo al que se adscribe:</w:t>
      </w:r>
    </w:p>
    <w:p w:rsidR="008F6DB8" w:rsidRPr="008F6DB8" w:rsidRDefault="008F6DB8" w:rsidP="008F6DB8">
      <w:pPr>
        <w:numPr>
          <w:ilvl w:val="0"/>
          <w:numId w:val="3"/>
        </w:numPr>
        <w:jc w:val="both"/>
        <w:rPr>
          <w:rFonts w:ascii="Calibri" w:hAnsi="Calibri" w:cs="Calibri"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Cs/>
          <w:color w:val="002060"/>
          <w:sz w:val="20"/>
          <w:szCs w:val="20"/>
        </w:rPr>
        <w:t>Periodo de apertura mínimo: los fines de semana y festivos entre el 1 de junio y el 7 de julio; más un periodo continuado “principal” entre el 13 de julio y el 15 de septiembre con apertura seis días a la semana –incluyendo siempre el fin de semana-; más los fines de semana y festivos entre el 21 y el 29 de septiembre. (Siempre un mínimo de cuatro horas de servicio al día).</w:t>
      </w:r>
    </w:p>
    <w:p w:rsidR="008F6DB8" w:rsidRPr="008F6DB8" w:rsidRDefault="008F6DB8" w:rsidP="008F6DB8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Cs/>
          <w:color w:val="002060"/>
          <w:sz w:val="20"/>
          <w:szCs w:val="20"/>
        </w:rPr>
        <w:t xml:space="preserve">Periodo de apertura superior al supuesto anterior (ver opciones en Base Cuarta):  </w:t>
      </w:r>
      <w:r w:rsidRPr="008F6DB8">
        <w:rPr>
          <w:rFonts w:ascii="Calibri" w:hAnsi="Calibri" w:cs="Calibri"/>
          <w:b/>
          <w:bCs/>
          <w:color w:val="002060"/>
          <w:sz w:val="20"/>
          <w:szCs w:val="20"/>
        </w:rPr>
        <w:t>Especificar periodo/s:</w:t>
      </w:r>
    </w:p>
    <w:p w:rsidR="008F6DB8" w:rsidRPr="008F6DB8" w:rsidRDefault="008F6DB8" w:rsidP="008F6DB8">
      <w:pPr>
        <w:numPr>
          <w:ilvl w:val="0"/>
          <w:numId w:val="4"/>
        </w:numPr>
        <w:spacing w:before="120" w:after="120"/>
        <w:ind w:left="709" w:hanging="357"/>
        <w:jc w:val="both"/>
        <w:rPr>
          <w:rFonts w:ascii="Calibri" w:hAnsi="Calibri" w:cs="Calibri"/>
          <w:bCs/>
          <w:color w:val="002060"/>
          <w:sz w:val="20"/>
          <w:szCs w:val="20"/>
        </w:rPr>
      </w:pPr>
    </w:p>
    <w:p w:rsidR="008F6DB8" w:rsidRPr="008F6DB8" w:rsidRDefault="008F6DB8" w:rsidP="008F6DB8">
      <w:pPr>
        <w:numPr>
          <w:ilvl w:val="0"/>
          <w:numId w:val="4"/>
        </w:numPr>
        <w:spacing w:before="120" w:after="120"/>
        <w:ind w:left="709" w:hanging="357"/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8F6DB8">
        <w:rPr>
          <w:rFonts w:ascii="Calibri" w:hAnsi="Calibri" w:cs="Calibri"/>
          <w:b/>
          <w:bCs/>
          <w:color w:val="002060"/>
          <w:sz w:val="20"/>
          <w:szCs w:val="20"/>
        </w:rPr>
        <w:t>DÍAS DE APERTURA AL PÚBLICO:</w:t>
      </w:r>
      <w:r w:rsidRPr="008F6DB8">
        <w:rPr>
          <w:rFonts w:ascii="Calibri" w:hAnsi="Calibri" w:cs="Calibri"/>
          <w:b/>
          <w:bCs/>
          <w:color w:val="002060"/>
          <w:sz w:val="18"/>
          <w:szCs w:val="18"/>
        </w:rPr>
        <w:t xml:space="preserve"> Indicar día de CIERRE semanal en el periodo “principal” de apertura consecutiva:</w:t>
      </w:r>
    </w:p>
    <w:p w:rsidR="008F6DB8" w:rsidRPr="008F6DB8" w:rsidRDefault="008F6DB8" w:rsidP="008F6DB8">
      <w:pPr>
        <w:numPr>
          <w:ilvl w:val="0"/>
          <w:numId w:val="2"/>
        </w:numPr>
        <w:jc w:val="both"/>
        <w:rPr>
          <w:rFonts w:ascii="Calibri" w:hAnsi="Calibri" w:cs="Calibri"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Cs/>
          <w:color w:val="002060"/>
          <w:sz w:val="20"/>
          <w:szCs w:val="20"/>
        </w:rPr>
        <w:t>Abierto los días:</w:t>
      </w:r>
    </w:p>
    <w:p w:rsidR="008F6DB8" w:rsidRPr="008F6DB8" w:rsidRDefault="008F6DB8" w:rsidP="008F6DB8">
      <w:pPr>
        <w:numPr>
          <w:ilvl w:val="0"/>
          <w:numId w:val="2"/>
        </w:numPr>
        <w:jc w:val="both"/>
        <w:rPr>
          <w:rFonts w:ascii="Calibri" w:hAnsi="Calibri" w:cs="Calibri"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Cs/>
          <w:color w:val="002060"/>
          <w:sz w:val="20"/>
          <w:szCs w:val="20"/>
        </w:rPr>
        <w:t>Cerrado el día:</w:t>
      </w:r>
    </w:p>
    <w:p w:rsidR="008F6DB8" w:rsidRPr="008F6DB8" w:rsidRDefault="008F6DB8" w:rsidP="008F6DB8">
      <w:pPr>
        <w:ind w:left="360"/>
        <w:jc w:val="both"/>
        <w:rPr>
          <w:rFonts w:ascii="Calibri" w:hAnsi="Calibri" w:cs="Calibri"/>
          <w:bCs/>
          <w:color w:val="002060"/>
          <w:sz w:val="20"/>
          <w:szCs w:val="20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/>
          <w:bCs/>
          <w:color w:val="002060"/>
          <w:sz w:val="20"/>
          <w:szCs w:val="20"/>
        </w:rPr>
        <w:t>HORARIO DE APERTURA AL PÚBLICO:</w:t>
      </w:r>
    </w:p>
    <w:p w:rsidR="008F6DB8" w:rsidRPr="008F6DB8" w:rsidRDefault="008F6DB8" w:rsidP="008F6DB8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/>
          <w:bCs/>
          <w:color w:val="002060"/>
          <w:sz w:val="20"/>
          <w:szCs w:val="20"/>
        </w:rPr>
        <w:t>SERVICIO OFRECIDO POR GUÍA TURÍSTICO ACREDITADO:</w:t>
      </w:r>
    </w:p>
    <w:p w:rsidR="008F6DB8" w:rsidRPr="008F6DB8" w:rsidRDefault="008F6DB8" w:rsidP="008F6DB8">
      <w:pPr>
        <w:numPr>
          <w:ilvl w:val="0"/>
          <w:numId w:val="5"/>
        </w:numPr>
        <w:jc w:val="both"/>
        <w:rPr>
          <w:rFonts w:ascii="Calibri" w:hAnsi="Calibri" w:cs="Calibri"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Cs/>
          <w:color w:val="002060"/>
          <w:sz w:val="20"/>
          <w:szCs w:val="20"/>
        </w:rPr>
        <w:t>Sí</w:t>
      </w:r>
      <w:r w:rsidRPr="008F6DB8">
        <w:rPr>
          <w:rFonts w:ascii="Calibri" w:hAnsi="Calibri" w:cs="Calibri"/>
          <w:bCs/>
          <w:color w:val="002060"/>
          <w:sz w:val="20"/>
          <w:szCs w:val="20"/>
        </w:rPr>
        <w:tab/>
      </w:r>
    </w:p>
    <w:p w:rsidR="008F6DB8" w:rsidRPr="008F6DB8" w:rsidRDefault="008F6DB8" w:rsidP="008F6DB8">
      <w:pPr>
        <w:numPr>
          <w:ilvl w:val="0"/>
          <w:numId w:val="5"/>
        </w:numPr>
        <w:jc w:val="both"/>
        <w:rPr>
          <w:rFonts w:ascii="Calibri" w:hAnsi="Calibri" w:cs="Calibri"/>
          <w:bCs/>
          <w:color w:val="002060"/>
          <w:sz w:val="20"/>
          <w:szCs w:val="20"/>
        </w:rPr>
      </w:pPr>
      <w:r w:rsidRPr="008F6DB8">
        <w:rPr>
          <w:rFonts w:ascii="Calibri" w:hAnsi="Calibri" w:cs="Calibri"/>
          <w:bCs/>
          <w:color w:val="002060"/>
          <w:sz w:val="20"/>
          <w:szCs w:val="20"/>
        </w:rPr>
        <w:t>No</w:t>
      </w:r>
      <w:r w:rsidRPr="008F6DB8">
        <w:rPr>
          <w:rFonts w:ascii="Calibri" w:hAnsi="Calibri" w:cs="Calibri"/>
          <w:bCs/>
          <w:color w:val="002060"/>
          <w:sz w:val="20"/>
          <w:szCs w:val="20"/>
        </w:rPr>
        <w:tab/>
      </w:r>
    </w:p>
    <w:p w:rsidR="008F6DB8" w:rsidRPr="008F6DB8" w:rsidRDefault="008F6DB8" w:rsidP="008F6DB8">
      <w:p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  <w:r w:rsidRPr="008F6DB8">
        <w:rPr>
          <w:rFonts w:ascii="Calibri" w:hAnsi="Calibri" w:cs="Calibri"/>
          <w:b/>
          <w:bCs/>
          <w:color w:val="002060"/>
          <w:sz w:val="20"/>
          <w:szCs w:val="20"/>
        </w:rPr>
        <w:t>TELÉFONO</w:t>
      </w:r>
      <w:r w:rsidRPr="008F6DB8">
        <w:rPr>
          <w:rFonts w:ascii="Calibri" w:hAnsi="Calibri" w:cs="Calibri"/>
          <w:b/>
          <w:bCs/>
          <w:color w:val="002060"/>
          <w:sz w:val="18"/>
          <w:szCs w:val="18"/>
        </w:rPr>
        <w:t xml:space="preserve"> de contacto (opcional):</w:t>
      </w:r>
    </w:p>
    <w:p w:rsidR="008F6DB8" w:rsidRPr="008F6DB8" w:rsidRDefault="008F6DB8" w:rsidP="008F6DB8">
      <w:p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numPr>
          <w:ilvl w:val="0"/>
          <w:numId w:val="2"/>
        </w:numPr>
        <w:jc w:val="both"/>
        <w:rPr>
          <w:rFonts w:ascii="Calibri" w:hAnsi="Calibri" w:cs="Calibri"/>
          <w:b/>
          <w:bCs/>
          <w:color w:val="002060"/>
          <w:sz w:val="18"/>
          <w:szCs w:val="18"/>
        </w:rPr>
      </w:pPr>
    </w:p>
    <w:p w:rsidR="008F6DB8" w:rsidRPr="008F6DB8" w:rsidRDefault="008F6DB8" w:rsidP="008F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8F6DB8">
        <w:rPr>
          <w:rFonts w:ascii="Calibri" w:hAnsi="Calibri" w:cs="Calibri"/>
          <w:b/>
          <w:bCs/>
          <w:color w:val="002060"/>
          <w:sz w:val="20"/>
          <w:szCs w:val="20"/>
        </w:rPr>
        <w:t>PRECIO DE LA VISITA</w:t>
      </w:r>
      <w:r w:rsidRPr="008F6DB8">
        <w:rPr>
          <w:rFonts w:ascii="Calibri" w:hAnsi="Calibri" w:cs="Calibri"/>
          <w:b/>
          <w:bCs/>
          <w:color w:val="002060"/>
          <w:sz w:val="18"/>
          <w:szCs w:val="18"/>
        </w:rPr>
        <w:t xml:space="preserve"> (precio opcional, pero si lo hay habrá de indicarse expresamente)</w:t>
      </w:r>
    </w:p>
    <w:p w:rsidR="008F6DB8" w:rsidRPr="008F6DB8" w:rsidRDefault="008F6DB8" w:rsidP="008F6DB8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F6DB8" w:rsidRPr="008F6DB8" w:rsidRDefault="008F6DB8" w:rsidP="008F6DB8">
      <w:pPr>
        <w:numPr>
          <w:ilvl w:val="0"/>
          <w:numId w:val="2"/>
        </w:num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642AC" w:rsidRPr="008F6DB8" w:rsidRDefault="00B642AC" w:rsidP="008F6DB8">
      <w:bookmarkStart w:id="0" w:name="_GoBack"/>
      <w:bookmarkEnd w:id="0"/>
    </w:p>
    <w:sectPr w:rsidR="00B642AC" w:rsidRPr="008F6D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75" w:rsidRDefault="00180D75" w:rsidP="00180D75">
      <w:r>
        <w:separator/>
      </w:r>
    </w:p>
  </w:endnote>
  <w:endnote w:type="continuationSeparator" w:id="0">
    <w:p w:rsidR="00180D75" w:rsidRDefault="00180D75" w:rsidP="001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75" w:rsidRDefault="00180D75" w:rsidP="00180D75">
      <w:r>
        <w:separator/>
      </w:r>
    </w:p>
  </w:footnote>
  <w:footnote w:type="continuationSeparator" w:id="0">
    <w:p w:rsidR="00180D75" w:rsidRDefault="00180D75" w:rsidP="001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75" w:rsidRPr="00180D75" w:rsidRDefault="00180D75" w:rsidP="00180D75">
    <w:pPr>
      <w:pStyle w:val="Encabezado"/>
      <w:jc w:val="right"/>
      <w:rPr>
        <w:rFonts w:ascii="Trebuchet MS" w:hAnsi="Trebuchet MS"/>
        <w:b/>
        <w:sz w:val="20"/>
        <w:szCs w:val="20"/>
      </w:rPr>
    </w:pPr>
    <w:r w:rsidRPr="00180D75">
      <w:rPr>
        <w:rFonts w:ascii="Trebuchet MS" w:hAnsi="Trebuchet MS"/>
        <w:b/>
        <w:sz w:val="20"/>
        <w:szCs w:val="20"/>
      </w:rPr>
      <w:t>Bases subvenciones “Puertas Abiertas en la Hoya” para el año 2019</w:t>
    </w:r>
  </w:p>
  <w:p w:rsidR="00180D75" w:rsidRDefault="00180D75">
    <w:pPr>
      <w:pStyle w:val="Encabezado"/>
    </w:pPr>
  </w:p>
  <w:p w:rsidR="00180D75" w:rsidRDefault="00180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9A8"/>
    <w:multiLevelType w:val="hybridMultilevel"/>
    <w:tmpl w:val="5D7E16E2"/>
    <w:lvl w:ilvl="0" w:tplc="3D86D0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16C27"/>
    <w:multiLevelType w:val="hybridMultilevel"/>
    <w:tmpl w:val="47FC1834"/>
    <w:lvl w:ilvl="0" w:tplc="7EB69F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00E8B"/>
    <w:multiLevelType w:val="hybridMultilevel"/>
    <w:tmpl w:val="47E6BE7A"/>
    <w:lvl w:ilvl="0" w:tplc="3D86D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5132E"/>
    <w:multiLevelType w:val="hybridMultilevel"/>
    <w:tmpl w:val="B56A3088"/>
    <w:lvl w:ilvl="0" w:tplc="3D86D06C">
      <w:start w:val="1"/>
      <w:numFmt w:val="bullet"/>
      <w:lvlText w:val=""/>
      <w:lvlJc w:val="left"/>
      <w:pPr>
        <w:ind w:left="578" w:hanging="360"/>
      </w:pPr>
      <w:rPr>
        <w:rFonts w:ascii="Symbol" w:hAnsi="Symbo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D116671"/>
    <w:multiLevelType w:val="hybridMultilevel"/>
    <w:tmpl w:val="B3822B2E"/>
    <w:lvl w:ilvl="0" w:tplc="7EB69FEE">
      <w:start w:val="1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75"/>
    <w:rsid w:val="00180D75"/>
    <w:rsid w:val="008F6DB8"/>
    <w:rsid w:val="00B6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D14"/>
  <w15:chartTrackingRefBased/>
  <w15:docId w15:val="{AC206C6F-BC6D-40DB-8549-6DC77FE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2019-03-11T10:21:00Z</dcterms:created>
  <dcterms:modified xsi:type="dcterms:W3CDTF">2019-03-11T10:21:00Z</dcterms:modified>
</cp:coreProperties>
</file>